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77E6B" w14:textId="739BA4B8" w:rsidR="00BD087C" w:rsidRPr="0023502A" w:rsidRDefault="0023502A" w:rsidP="00A164B9">
      <w:pPr>
        <w:ind w:left="-360"/>
        <w:rPr>
          <w:rFonts w:ascii="Helvetica" w:hAnsi="Helvetica"/>
          <w:b/>
          <w:color w:val="FF0000"/>
          <w:sz w:val="18"/>
          <w:szCs w:val="18"/>
        </w:rPr>
      </w:pPr>
      <w:bookmarkStart w:id="0" w:name="_GoBack"/>
      <w:bookmarkEnd w:id="0"/>
      <w:r w:rsidRPr="0023502A">
        <w:rPr>
          <w:rFonts w:ascii="Helvetica" w:hAnsi="Helvetica"/>
          <w:b/>
          <w:color w:val="FF0000"/>
          <w:sz w:val="18"/>
          <w:szCs w:val="18"/>
        </w:rPr>
        <w:t xml:space="preserve"> </w:t>
      </w:r>
      <w:r w:rsidR="004B62FA" w:rsidRPr="0023502A">
        <w:rPr>
          <w:rFonts w:ascii="Helvetica" w:hAnsi="Helvetica"/>
          <w:b/>
          <w:color w:val="FF0000"/>
          <w:sz w:val="18"/>
          <w:szCs w:val="18"/>
        </w:rPr>
        <w:t>[</w:t>
      </w:r>
      <w:r w:rsidR="00BD087C" w:rsidRPr="0023502A">
        <w:rPr>
          <w:rFonts w:ascii="Helvetica" w:hAnsi="Helvetica"/>
          <w:b/>
          <w:color w:val="FF0000"/>
          <w:sz w:val="18"/>
          <w:szCs w:val="18"/>
        </w:rPr>
        <w:t>Location, Date</w:t>
      </w:r>
      <w:r w:rsidR="004B62FA" w:rsidRPr="0023502A">
        <w:rPr>
          <w:rFonts w:ascii="Helvetica" w:hAnsi="Helvetica"/>
          <w:b/>
          <w:color w:val="FF0000"/>
          <w:sz w:val="18"/>
          <w:szCs w:val="18"/>
        </w:rPr>
        <w:t>]</w:t>
      </w:r>
    </w:p>
    <w:p w14:paraId="0F09B91F" w14:textId="77777777" w:rsidR="00BB38C9" w:rsidRPr="0023502A" w:rsidRDefault="00BB38C9" w:rsidP="007C7BBD">
      <w:pPr>
        <w:rPr>
          <w:rFonts w:ascii="Helvetica" w:hAnsi="Helvetica"/>
          <w:sz w:val="18"/>
          <w:szCs w:val="18"/>
        </w:rPr>
      </w:pPr>
    </w:p>
    <w:p w14:paraId="030FA379" w14:textId="77777777" w:rsidR="007C7BBD" w:rsidRPr="0023502A" w:rsidRDefault="007C7BBD" w:rsidP="00BB38C9">
      <w:pPr>
        <w:ind w:left="-360"/>
        <w:rPr>
          <w:rFonts w:ascii="Helvetica" w:hAnsi="Helvetica"/>
          <w:i/>
          <w:sz w:val="18"/>
          <w:szCs w:val="18"/>
        </w:rPr>
      </w:pPr>
      <w:r w:rsidRPr="0023502A">
        <w:rPr>
          <w:rFonts w:ascii="Helvetica" w:hAnsi="Helvetica"/>
          <w:sz w:val="18"/>
          <w:szCs w:val="18"/>
        </w:rPr>
        <w:t xml:space="preserve">In the aftermath of recent storms such as Sandy, Irene, and Lee, electric and gas utilities all over New York State are “storm hardening” against severe weather conditions. </w:t>
      </w:r>
      <w:r w:rsidR="00416E89" w:rsidRPr="0023502A">
        <w:rPr>
          <w:rFonts w:ascii="Helvetica" w:hAnsi="Helvetica"/>
          <w:sz w:val="18"/>
          <w:szCs w:val="18"/>
        </w:rPr>
        <w:t xml:space="preserve"> Utilities pass </w:t>
      </w:r>
      <w:r w:rsidR="00BD087C" w:rsidRPr="0023502A">
        <w:rPr>
          <w:rFonts w:ascii="Helvetica" w:hAnsi="Helvetica"/>
          <w:sz w:val="18"/>
          <w:szCs w:val="18"/>
        </w:rPr>
        <w:t xml:space="preserve">the cost </w:t>
      </w:r>
      <w:r w:rsidR="00313280" w:rsidRPr="0023502A">
        <w:rPr>
          <w:rFonts w:ascii="Helvetica" w:hAnsi="Helvetica"/>
          <w:sz w:val="18"/>
          <w:szCs w:val="18"/>
        </w:rPr>
        <w:t>of these</w:t>
      </w:r>
      <w:r w:rsidR="00416E89" w:rsidRPr="0023502A">
        <w:rPr>
          <w:rFonts w:ascii="Helvetica" w:hAnsi="Helvetica"/>
          <w:sz w:val="18"/>
          <w:szCs w:val="18"/>
        </w:rPr>
        <w:t xml:space="preserve"> </w:t>
      </w:r>
      <w:r w:rsidRPr="0023502A">
        <w:rPr>
          <w:rFonts w:ascii="Helvetica" w:hAnsi="Helvetica"/>
          <w:sz w:val="18"/>
          <w:szCs w:val="18"/>
        </w:rPr>
        <w:t xml:space="preserve">infrastructural investments </w:t>
      </w:r>
      <w:r w:rsidR="00BD087C" w:rsidRPr="0023502A">
        <w:rPr>
          <w:rFonts w:ascii="Helvetica" w:hAnsi="Helvetica"/>
          <w:sz w:val="18"/>
          <w:szCs w:val="18"/>
        </w:rPr>
        <w:t>on</w:t>
      </w:r>
      <w:r w:rsidRPr="0023502A">
        <w:rPr>
          <w:rFonts w:ascii="Helvetica" w:hAnsi="Helvetica"/>
          <w:sz w:val="18"/>
          <w:szCs w:val="18"/>
        </w:rPr>
        <w:t xml:space="preserve"> to </w:t>
      </w:r>
      <w:r w:rsidR="0001064B" w:rsidRPr="0023502A">
        <w:rPr>
          <w:rFonts w:ascii="Helvetica" w:hAnsi="Helvetica"/>
          <w:sz w:val="18"/>
          <w:szCs w:val="18"/>
        </w:rPr>
        <w:t>their customers</w:t>
      </w:r>
      <w:r w:rsidRPr="0023502A">
        <w:rPr>
          <w:rFonts w:ascii="Helvetica" w:hAnsi="Helvetica"/>
          <w:sz w:val="18"/>
          <w:szCs w:val="18"/>
        </w:rPr>
        <w:t xml:space="preserve">. </w:t>
      </w:r>
      <w:r w:rsidRPr="0023502A">
        <w:rPr>
          <w:rFonts w:ascii="Helvetica" w:hAnsi="Helvetica"/>
          <w:b/>
          <w:sz w:val="18"/>
          <w:szCs w:val="18"/>
        </w:rPr>
        <w:t>Electric rates in the Hudson Valley</w:t>
      </w:r>
      <w:r w:rsidR="003F6C48" w:rsidRPr="0023502A">
        <w:rPr>
          <w:rFonts w:ascii="Helvetica" w:hAnsi="Helvetica"/>
          <w:b/>
          <w:sz w:val="18"/>
          <w:szCs w:val="18"/>
        </w:rPr>
        <w:t>, and throughout the state,</w:t>
      </w:r>
      <w:r w:rsidRPr="0023502A">
        <w:rPr>
          <w:rFonts w:ascii="Helvetica" w:hAnsi="Helvetica"/>
          <w:b/>
          <w:sz w:val="18"/>
          <w:szCs w:val="18"/>
        </w:rPr>
        <w:t xml:space="preserve"> are already amongst the highest in the country</w:t>
      </w:r>
      <w:r w:rsidR="00B26C31" w:rsidRPr="0023502A">
        <w:rPr>
          <w:rFonts w:ascii="Helvetica" w:hAnsi="Helvetica"/>
          <w:i/>
          <w:sz w:val="18"/>
          <w:szCs w:val="18"/>
        </w:rPr>
        <w:t>.</w:t>
      </w:r>
      <w:r w:rsidR="003F6C48" w:rsidRPr="0023502A">
        <w:rPr>
          <w:rStyle w:val="FootnoteReference"/>
          <w:rFonts w:ascii="Helvetica" w:hAnsi="Helvetica"/>
          <w:i/>
          <w:sz w:val="18"/>
          <w:szCs w:val="18"/>
        </w:rPr>
        <w:footnoteReference w:id="1"/>
      </w:r>
      <w:r w:rsidRPr="0023502A">
        <w:rPr>
          <w:rFonts w:ascii="Helvetica" w:hAnsi="Helvetica"/>
          <w:i/>
          <w:sz w:val="18"/>
          <w:szCs w:val="18"/>
        </w:rPr>
        <w:t xml:space="preserve">  </w:t>
      </w:r>
    </w:p>
    <w:p w14:paraId="09FEF7D5" w14:textId="77777777" w:rsidR="00416E89" w:rsidRPr="0023502A" w:rsidRDefault="00416E89" w:rsidP="00BB38C9">
      <w:pPr>
        <w:ind w:left="-360"/>
        <w:rPr>
          <w:rFonts w:ascii="Helvetica" w:hAnsi="Helvetica"/>
          <w:sz w:val="18"/>
          <w:szCs w:val="18"/>
        </w:rPr>
      </w:pPr>
    </w:p>
    <w:p w14:paraId="15765391" w14:textId="77777777" w:rsidR="00416E89" w:rsidRDefault="008431A6" w:rsidP="00BB38C9">
      <w:pPr>
        <w:ind w:left="-360"/>
        <w:rPr>
          <w:rFonts w:ascii="Helvetica" w:hAnsi="Helvetica"/>
          <w:sz w:val="18"/>
          <w:szCs w:val="18"/>
        </w:rPr>
      </w:pPr>
      <w:r w:rsidRPr="0023502A">
        <w:rPr>
          <w:rFonts w:ascii="Helvetica" w:hAnsi="Helvetica" w:cs="Helvetica"/>
          <w:sz w:val="18"/>
          <w:szCs w:val="18"/>
        </w:rPr>
        <w:t xml:space="preserve">To combat climbing energy bills, </w:t>
      </w:r>
      <w:r w:rsidR="00416E89" w:rsidRPr="0023502A">
        <w:rPr>
          <w:rFonts w:ascii="Helvetica" w:hAnsi="Helvetica" w:cs="Helvetica"/>
          <w:sz w:val="18"/>
          <w:szCs w:val="18"/>
        </w:rPr>
        <w:t xml:space="preserve">the </w:t>
      </w:r>
      <w:r w:rsidR="00416E89" w:rsidRPr="0023502A">
        <w:rPr>
          <w:rFonts w:ascii="Helvetica" w:hAnsi="Helvetica" w:cs="Helvetica"/>
          <w:color w:val="FF0000"/>
          <w:sz w:val="18"/>
          <w:szCs w:val="18"/>
        </w:rPr>
        <w:t>[Town Board/Village Board/City Council]</w:t>
      </w:r>
      <w:r w:rsidR="00416E89" w:rsidRPr="0023502A">
        <w:rPr>
          <w:rFonts w:ascii="Helvetica" w:hAnsi="Helvetica" w:cs="Helvetica"/>
          <w:sz w:val="18"/>
          <w:szCs w:val="18"/>
        </w:rPr>
        <w:t xml:space="preserve"> of </w:t>
      </w:r>
      <w:r w:rsidR="00416E89" w:rsidRPr="0023502A">
        <w:rPr>
          <w:rFonts w:ascii="Helvetica" w:hAnsi="Helvetica" w:cs="Helvetica"/>
          <w:color w:val="FF0000"/>
          <w:sz w:val="18"/>
          <w:szCs w:val="18"/>
        </w:rPr>
        <w:t>[Municipality]</w:t>
      </w:r>
      <w:r w:rsidR="00416E89" w:rsidRPr="0023502A">
        <w:rPr>
          <w:rFonts w:ascii="Helvetica" w:hAnsi="Helvetica" w:cs="Helvetica"/>
          <w:sz w:val="18"/>
          <w:szCs w:val="18"/>
        </w:rPr>
        <w:t xml:space="preserve"> passed a resolution</w:t>
      </w:r>
      <w:r w:rsidRPr="0023502A">
        <w:rPr>
          <w:rFonts w:ascii="Helvetica" w:hAnsi="Helvetica" w:cs="Helvetica"/>
          <w:sz w:val="18"/>
          <w:szCs w:val="18"/>
        </w:rPr>
        <w:t xml:space="preserve"> on </w:t>
      </w:r>
      <w:r w:rsidRPr="0023502A">
        <w:rPr>
          <w:rFonts w:ascii="Helvetica" w:hAnsi="Helvetica" w:cs="Helvetica"/>
          <w:color w:val="FF0000"/>
          <w:sz w:val="18"/>
          <w:szCs w:val="18"/>
        </w:rPr>
        <w:t>[date]</w:t>
      </w:r>
      <w:r w:rsidR="00416E89" w:rsidRPr="0023502A">
        <w:rPr>
          <w:rFonts w:ascii="Helvetica" w:hAnsi="Helvetica" w:cs="Helvetica"/>
          <w:sz w:val="18"/>
          <w:szCs w:val="18"/>
        </w:rPr>
        <w:t xml:space="preserve"> to participate in </w:t>
      </w:r>
      <w:r w:rsidR="00416E89" w:rsidRPr="0023502A">
        <w:rPr>
          <w:rFonts w:ascii="Helvetica" w:hAnsi="Helvetica"/>
          <w:sz w:val="18"/>
          <w:szCs w:val="18"/>
        </w:rPr>
        <w:t>a cutting-edge initiative that allows municipalities to put out for bid the total amount of natural gas or electricity being purchased by local residents or small businesses</w:t>
      </w:r>
      <w:r w:rsidR="00B26C31" w:rsidRPr="0023502A">
        <w:rPr>
          <w:rFonts w:ascii="Helvetica" w:hAnsi="Helvetica"/>
          <w:sz w:val="18"/>
          <w:szCs w:val="18"/>
        </w:rPr>
        <w:t>.</w:t>
      </w:r>
      <w:r w:rsidR="003F6C48" w:rsidRPr="0023502A">
        <w:rPr>
          <w:rStyle w:val="FootnoteReference"/>
          <w:rFonts w:ascii="Helvetica" w:hAnsi="Helvetica"/>
          <w:sz w:val="18"/>
          <w:szCs w:val="18"/>
        </w:rPr>
        <w:footnoteReference w:id="2"/>
      </w:r>
      <w:r w:rsidR="00416E89" w:rsidRPr="0023502A">
        <w:rPr>
          <w:rFonts w:ascii="Helvetica" w:hAnsi="Helvetica" w:cs="Helvetica"/>
          <w:sz w:val="18"/>
          <w:szCs w:val="18"/>
        </w:rPr>
        <w:t xml:space="preserve"> </w:t>
      </w:r>
      <w:r w:rsidR="00B26C31" w:rsidRPr="0023502A">
        <w:rPr>
          <w:rFonts w:ascii="Helvetica" w:hAnsi="Helvetica" w:cs="Helvetica"/>
          <w:sz w:val="18"/>
          <w:szCs w:val="18"/>
        </w:rPr>
        <w:t xml:space="preserve"> </w:t>
      </w:r>
      <w:r w:rsidR="00416E89" w:rsidRPr="0023502A">
        <w:rPr>
          <w:rFonts w:ascii="Helvetica" w:hAnsi="Helvetica" w:cs="Helvetica"/>
          <w:b/>
          <w:i/>
          <w:sz w:val="18"/>
          <w:szCs w:val="18"/>
        </w:rPr>
        <w:t xml:space="preserve">Community choice aggregation, or CCA, enables communities to </w:t>
      </w:r>
      <w:r w:rsidR="00BB38C9" w:rsidRPr="0023502A">
        <w:rPr>
          <w:rFonts w:ascii="Helvetica" w:hAnsi="Helvetica" w:cs="Helvetica"/>
          <w:b/>
          <w:i/>
          <w:sz w:val="18"/>
          <w:szCs w:val="18"/>
        </w:rPr>
        <w:t xml:space="preserve">leverage this market clout to </w:t>
      </w:r>
      <w:r w:rsidRPr="0023502A">
        <w:rPr>
          <w:rFonts w:ascii="Helvetica" w:hAnsi="Helvetica" w:cs="Helvetica"/>
          <w:b/>
          <w:i/>
          <w:sz w:val="18"/>
          <w:szCs w:val="18"/>
        </w:rPr>
        <w:t xml:space="preserve">negotiate lower rates and </w:t>
      </w:r>
      <w:r w:rsidRPr="0023502A">
        <w:rPr>
          <w:rFonts w:ascii="Helvetica" w:hAnsi="Helvetica"/>
          <w:b/>
          <w:i/>
          <w:sz w:val="18"/>
          <w:szCs w:val="18"/>
        </w:rPr>
        <w:t>achieve local objectives-</w:t>
      </w:r>
      <w:r w:rsidR="00416E89" w:rsidRPr="0023502A">
        <w:rPr>
          <w:rFonts w:ascii="Helvetica" w:hAnsi="Helvetica"/>
          <w:b/>
          <w:i/>
          <w:sz w:val="18"/>
          <w:szCs w:val="18"/>
        </w:rPr>
        <w:t xml:space="preserve"> </w:t>
      </w:r>
      <w:r w:rsidR="00CB7CA2" w:rsidRPr="0023502A">
        <w:rPr>
          <w:rFonts w:ascii="Helvetica" w:hAnsi="Helvetica"/>
          <w:b/>
          <w:i/>
          <w:sz w:val="18"/>
          <w:szCs w:val="18"/>
        </w:rPr>
        <w:t xml:space="preserve">cost stability, </w:t>
      </w:r>
      <w:r w:rsidR="00416E89" w:rsidRPr="0023502A">
        <w:rPr>
          <w:rFonts w:ascii="Helvetica" w:hAnsi="Helvetica"/>
          <w:b/>
          <w:i/>
          <w:sz w:val="18"/>
          <w:szCs w:val="18"/>
        </w:rPr>
        <w:t xml:space="preserve">greenhouse gas reduction, </w:t>
      </w:r>
      <w:r w:rsidR="00BD087C" w:rsidRPr="0023502A">
        <w:rPr>
          <w:rFonts w:ascii="Helvetica" w:hAnsi="Helvetica"/>
          <w:b/>
          <w:i/>
          <w:sz w:val="18"/>
          <w:szCs w:val="18"/>
        </w:rPr>
        <w:t>reliability, resilience</w:t>
      </w:r>
      <w:r w:rsidR="00416E89" w:rsidRPr="0023502A">
        <w:rPr>
          <w:rFonts w:ascii="Helvetica" w:hAnsi="Helvetica"/>
          <w:b/>
          <w:i/>
          <w:sz w:val="18"/>
          <w:szCs w:val="18"/>
        </w:rPr>
        <w:t>, and job creation</w:t>
      </w:r>
      <w:r w:rsidR="00416E89" w:rsidRPr="0023502A">
        <w:rPr>
          <w:rFonts w:ascii="Helvetica" w:hAnsi="Helvetica"/>
          <w:sz w:val="18"/>
          <w:szCs w:val="18"/>
        </w:rPr>
        <w:t>.</w:t>
      </w:r>
    </w:p>
    <w:p w14:paraId="00A62585" w14:textId="77777777" w:rsidR="00172536" w:rsidRDefault="00172536" w:rsidP="00BB38C9">
      <w:pPr>
        <w:ind w:left="-360"/>
        <w:rPr>
          <w:rFonts w:ascii="Helvetica" w:hAnsi="Helvetica"/>
          <w:sz w:val="18"/>
          <w:szCs w:val="18"/>
        </w:rPr>
      </w:pPr>
    </w:p>
    <w:p w14:paraId="686ED92B" w14:textId="7F8E47CB" w:rsidR="00172536" w:rsidRPr="00172536" w:rsidRDefault="00172536" w:rsidP="00BB38C9">
      <w:pPr>
        <w:ind w:left="-360"/>
        <w:rPr>
          <w:rFonts w:ascii="Helvetica" w:hAnsi="Helvetica" w:cs="Helvetica"/>
          <w:color w:val="FF0000"/>
          <w:sz w:val="18"/>
          <w:szCs w:val="18"/>
        </w:rPr>
      </w:pPr>
      <w:r w:rsidRPr="00172536">
        <w:rPr>
          <w:rFonts w:ascii="Helvetica" w:hAnsi="Helvetica"/>
          <w:color w:val="FF0000"/>
          <w:sz w:val="18"/>
          <w:szCs w:val="18"/>
        </w:rPr>
        <w:t>[</w:t>
      </w:r>
      <w:proofErr w:type="gramStart"/>
      <w:r w:rsidRPr="00172536">
        <w:rPr>
          <w:rFonts w:ascii="Helvetica" w:hAnsi="Helvetica"/>
          <w:color w:val="FF0000"/>
          <w:sz w:val="18"/>
          <w:szCs w:val="18"/>
        </w:rPr>
        <w:t>insert</w:t>
      </w:r>
      <w:proofErr w:type="gramEnd"/>
      <w:r w:rsidRPr="00172536">
        <w:rPr>
          <w:rFonts w:ascii="Helvetica" w:hAnsi="Helvetica"/>
          <w:color w:val="FF0000"/>
          <w:sz w:val="18"/>
          <w:szCs w:val="18"/>
        </w:rPr>
        <w:t xml:space="preserve"> quote/comment from local official]</w:t>
      </w:r>
    </w:p>
    <w:p w14:paraId="543B19F6" w14:textId="718660F7" w:rsidR="00172536" w:rsidRPr="0023502A" w:rsidRDefault="00172536" w:rsidP="00172536">
      <w:pPr>
        <w:rPr>
          <w:rFonts w:ascii="Helvetica" w:hAnsi="Helvetica"/>
          <w:sz w:val="18"/>
          <w:szCs w:val="18"/>
        </w:rPr>
      </w:pPr>
    </w:p>
    <w:p w14:paraId="35D42655" w14:textId="5BE0A587" w:rsidR="00513AC0" w:rsidRPr="0023502A" w:rsidRDefault="0069437C" w:rsidP="00513AC0">
      <w:pPr>
        <w:autoSpaceDE w:val="0"/>
        <w:autoSpaceDN w:val="0"/>
        <w:adjustRightInd w:val="0"/>
        <w:ind w:left="-360"/>
        <w:rPr>
          <w:rFonts w:ascii="Helvetica" w:hAnsi="Helvetica" w:cs="Arial"/>
          <w:sz w:val="18"/>
          <w:szCs w:val="18"/>
        </w:rPr>
      </w:pPr>
      <w:r w:rsidRPr="0023502A">
        <w:rPr>
          <w:rFonts w:ascii="Helvetica" w:hAnsi="Helvetica"/>
          <w:sz w:val="18"/>
          <w:szCs w:val="18"/>
        </w:rPr>
        <w:t>In February of this year</w:t>
      </w:r>
      <w:r w:rsidR="0001064B" w:rsidRPr="0023502A">
        <w:rPr>
          <w:rFonts w:ascii="Helvetica" w:hAnsi="Helvetica"/>
          <w:sz w:val="18"/>
          <w:szCs w:val="18"/>
        </w:rPr>
        <w:t xml:space="preserve">, the New York State Public Service Commission approved implementation of </w:t>
      </w:r>
      <w:r w:rsidR="008431A6" w:rsidRPr="0023502A">
        <w:rPr>
          <w:rFonts w:ascii="Helvetica" w:hAnsi="Helvetica"/>
          <w:sz w:val="18"/>
          <w:szCs w:val="18"/>
        </w:rPr>
        <w:t>a</w:t>
      </w:r>
      <w:r w:rsidR="00416E89" w:rsidRPr="0023502A">
        <w:rPr>
          <w:rFonts w:ascii="Helvetica" w:hAnsi="Helvetica"/>
          <w:sz w:val="18"/>
          <w:szCs w:val="18"/>
        </w:rPr>
        <w:t xml:space="preserve"> CCA</w:t>
      </w:r>
      <w:r w:rsidR="0001064B" w:rsidRPr="0023502A">
        <w:rPr>
          <w:rFonts w:ascii="Helvetica" w:hAnsi="Helvetica"/>
          <w:sz w:val="18"/>
          <w:szCs w:val="18"/>
        </w:rPr>
        <w:t xml:space="preserve"> pilot program in </w:t>
      </w:r>
      <w:r w:rsidR="00635326" w:rsidRPr="0023502A">
        <w:rPr>
          <w:rFonts w:ascii="Helvetica" w:hAnsi="Helvetica"/>
          <w:sz w:val="18"/>
          <w:szCs w:val="18"/>
        </w:rPr>
        <w:t>Westchester County</w:t>
      </w:r>
      <w:r w:rsidR="0001064B" w:rsidRPr="0023502A">
        <w:rPr>
          <w:rFonts w:ascii="Helvetica" w:hAnsi="Helvetica"/>
          <w:sz w:val="18"/>
          <w:szCs w:val="18"/>
        </w:rPr>
        <w:t xml:space="preserve">, </w:t>
      </w:r>
      <w:r w:rsidR="008431A6" w:rsidRPr="0023502A">
        <w:rPr>
          <w:rFonts w:ascii="Helvetica" w:hAnsi="Helvetica"/>
          <w:sz w:val="18"/>
          <w:szCs w:val="18"/>
        </w:rPr>
        <w:t xml:space="preserve">to be administered by local non-profit Sustainable Westchester. </w:t>
      </w:r>
      <w:r w:rsidR="00513AC0" w:rsidRPr="0023502A">
        <w:rPr>
          <w:rFonts w:ascii="Helvetica" w:hAnsi="Helvetica"/>
          <w:sz w:val="18"/>
          <w:szCs w:val="18"/>
        </w:rPr>
        <w:t xml:space="preserve"> </w:t>
      </w:r>
      <w:r w:rsidR="00513AC0" w:rsidRPr="0023502A">
        <w:rPr>
          <w:rFonts w:ascii="Helvetica" w:hAnsi="Helvetica"/>
          <w:b/>
          <w:sz w:val="18"/>
          <w:szCs w:val="18"/>
        </w:rPr>
        <w:t>This is the first program of its kind in the state.</w:t>
      </w:r>
      <w:r w:rsidR="00513AC0" w:rsidRPr="0023502A">
        <w:rPr>
          <w:rFonts w:ascii="Helvetica" w:hAnsi="Helvetica"/>
          <w:sz w:val="18"/>
          <w:szCs w:val="18"/>
        </w:rPr>
        <w:t xml:space="preserve"> </w:t>
      </w:r>
      <w:r w:rsidR="008431A6" w:rsidRPr="0023502A">
        <w:rPr>
          <w:rFonts w:ascii="Helvetica" w:hAnsi="Helvetica"/>
          <w:sz w:val="18"/>
          <w:szCs w:val="18"/>
        </w:rPr>
        <w:t xml:space="preserve"> </w:t>
      </w:r>
      <w:proofErr w:type="gramStart"/>
      <w:r w:rsidR="00513AC0" w:rsidRPr="0023502A">
        <w:rPr>
          <w:rFonts w:ascii="Helvetica" w:hAnsi="Helvetica" w:cs="Arial"/>
          <w:sz w:val="18"/>
          <w:szCs w:val="18"/>
        </w:rPr>
        <w:t xml:space="preserve">Sustainable Westchester (and its predecessor organizations), under the persevering and visionary leadership of Co-Chairman Mike Gordon (of </w:t>
      </w:r>
      <w:proofErr w:type="spellStart"/>
      <w:r w:rsidR="00513AC0" w:rsidRPr="0023502A">
        <w:rPr>
          <w:rFonts w:ascii="Helvetica" w:hAnsi="Helvetica" w:cs="Arial"/>
          <w:sz w:val="18"/>
          <w:szCs w:val="18"/>
        </w:rPr>
        <w:t>Lewisboro</w:t>
      </w:r>
      <w:proofErr w:type="spellEnd"/>
      <w:r w:rsidR="00513AC0" w:rsidRPr="0023502A">
        <w:rPr>
          <w:rFonts w:ascii="Helvetica" w:hAnsi="Helvetica" w:cs="Arial"/>
          <w:sz w:val="18"/>
          <w:szCs w:val="18"/>
        </w:rPr>
        <w:t>)</w:t>
      </w:r>
      <w:r w:rsidR="00172536">
        <w:rPr>
          <w:rFonts w:ascii="Helvetica" w:hAnsi="Helvetica" w:cs="Arial"/>
          <w:sz w:val="18"/>
          <w:szCs w:val="18"/>
        </w:rPr>
        <w:t>.</w:t>
      </w:r>
      <w:proofErr w:type="gramEnd"/>
      <w:r w:rsidR="00513AC0" w:rsidRPr="0023502A">
        <w:rPr>
          <w:rFonts w:ascii="Helvetica" w:hAnsi="Helvetica" w:cs="Arial"/>
          <w:sz w:val="18"/>
          <w:szCs w:val="18"/>
        </w:rPr>
        <w:t xml:space="preserve"> </w:t>
      </w:r>
    </w:p>
    <w:p w14:paraId="5F1F83CB" w14:textId="77777777" w:rsidR="00172536" w:rsidRPr="00172536" w:rsidRDefault="00172536" w:rsidP="00172536">
      <w:pPr>
        <w:widowControl w:val="0"/>
        <w:autoSpaceDE w:val="0"/>
        <w:autoSpaceDN w:val="0"/>
        <w:adjustRightInd w:val="0"/>
        <w:rPr>
          <w:rFonts w:ascii="Helvetica" w:hAnsi="Helvetica" w:cs="Times New Roman"/>
          <w:sz w:val="18"/>
          <w:szCs w:val="18"/>
        </w:rPr>
      </w:pPr>
    </w:p>
    <w:p w14:paraId="7A1BDDC2" w14:textId="77777777" w:rsidR="00A164B9" w:rsidRPr="0023502A" w:rsidRDefault="00513AC0" w:rsidP="00A164B9">
      <w:pPr>
        <w:ind w:left="-360"/>
        <w:rPr>
          <w:rFonts w:ascii="Helvetica" w:hAnsi="Helvetica"/>
          <w:sz w:val="18"/>
          <w:szCs w:val="18"/>
        </w:rPr>
      </w:pPr>
      <w:r w:rsidRPr="0023502A">
        <w:rPr>
          <w:rFonts w:ascii="Helvetica" w:hAnsi="Helvetica"/>
          <w:sz w:val="18"/>
          <w:szCs w:val="18"/>
        </w:rPr>
        <w:t xml:space="preserve">Under the terms of the Public Service Commission order, the Community Choice Aggregation demonstration project </w:t>
      </w:r>
      <w:r w:rsidRPr="0023502A">
        <w:rPr>
          <w:rFonts w:ascii="Helvetica" w:hAnsi="Helvetica"/>
          <w:b/>
          <w:sz w:val="18"/>
          <w:szCs w:val="18"/>
        </w:rPr>
        <w:t>may only proceed</w:t>
      </w:r>
      <w:r w:rsidRPr="0023502A">
        <w:rPr>
          <w:rFonts w:ascii="Helvetica" w:hAnsi="Helvetica"/>
          <w:sz w:val="18"/>
          <w:szCs w:val="18"/>
        </w:rPr>
        <w:t xml:space="preserve"> if the new rate for supply is going to </w:t>
      </w:r>
      <w:r w:rsidRPr="0023502A">
        <w:rPr>
          <w:rFonts w:ascii="Helvetica" w:hAnsi="Helvetica"/>
          <w:b/>
          <w:sz w:val="18"/>
          <w:szCs w:val="18"/>
        </w:rPr>
        <w:t>produce future savings</w:t>
      </w:r>
      <w:r w:rsidRPr="0023502A">
        <w:rPr>
          <w:rFonts w:ascii="Helvetica" w:hAnsi="Helvetica"/>
          <w:sz w:val="18"/>
          <w:szCs w:val="18"/>
        </w:rPr>
        <w:t xml:space="preserve"> for homeowners and business owners versus staying with the default utility rate.  CCA is revenue supported and not reliant on taxpayer subsidies.</w:t>
      </w:r>
      <w:r w:rsidRPr="0023502A">
        <w:rPr>
          <w:rFonts w:ascii="Helvetica" w:hAnsi="Helvetica" w:cs="Helvetica"/>
          <w:sz w:val="18"/>
          <w:szCs w:val="18"/>
        </w:rPr>
        <w:t xml:space="preserve">  </w:t>
      </w:r>
      <w:r w:rsidR="00A164B9" w:rsidRPr="0023502A">
        <w:rPr>
          <w:rFonts w:ascii="Helvetica" w:hAnsi="Helvetica"/>
          <w:sz w:val="18"/>
          <w:szCs w:val="18"/>
        </w:rPr>
        <w:t xml:space="preserve">The Commission’s approval of this pilot program builds upon Governor Andrew M. Cuomo’s strategic “Reforming the Energy Vision” (REV) plan to spur clean energy innovation and investment, improve customer choice and value, and protect the environment.  </w:t>
      </w:r>
    </w:p>
    <w:p w14:paraId="1A1758D6" w14:textId="77777777" w:rsidR="00BD087C" w:rsidRPr="0023502A" w:rsidRDefault="00BD087C" w:rsidP="00B26C31">
      <w:pPr>
        <w:rPr>
          <w:rFonts w:ascii="Helvetica" w:hAnsi="Helvetica"/>
          <w:sz w:val="18"/>
          <w:szCs w:val="18"/>
        </w:rPr>
      </w:pPr>
    </w:p>
    <w:p w14:paraId="0CB7B8E0" w14:textId="77777777" w:rsidR="004B62FA" w:rsidRPr="0023502A" w:rsidRDefault="00996A24" w:rsidP="00A164B9">
      <w:pPr>
        <w:autoSpaceDE w:val="0"/>
        <w:autoSpaceDN w:val="0"/>
        <w:adjustRightInd w:val="0"/>
        <w:ind w:left="-360"/>
        <w:rPr>
          <w:rFonts w:ascii="Helvetica" w:hAnsi="Helvetica" w:cs="Arial"/>
          <w:sz w:val="18"/>
          <w:szCs w:val="18"/>
        </w:rPr>
      </w:pPr>
      <w:r w:rsidRPr="0023502A">
        <w:rPr>
          <w:rFonts w:ascii="Helvetica" w:hAnsi="Helvetica" w:cs="Helvetica"/>
          <w:sz w:val="18"/>
          <w:szCs w:val="18"/>
        </w:rPr>
        <w:t xml:space="preserve">Residents will be given a menu of choices, including the option to buy renewable energy.  </w:t>
      </w:r>
      <w:r w:rsidRPr="0023502A">
        <w:rPr>
          <w:rFonts w:ascii="Helvetica" w:hAnsi="Helvetica"/>
          <w:sz w:val="18"/>
          <w:szCs w:val="18"/>
        </w:rPr>
        <w:t>Currently six states, including California, Massachusetts, and Illinois, have operational CCA programs for electricity, several of which offer anywhere from 25%-100% renewables in the energy mix.</w:t>
      </w:r>
      <w:r w:rsidRPr="0023502A">
        <w:rPr>
          <w:rFonts w:ascii="Helvetica" w:hAnsi="Helvetica" w:cs="Arial"/>
          <w:sz w:val="18"/>
          <w:szCs w:val="18"/>
        </w:rPr>
        <w:t xml:space="preserve">  As of last year, an estimated 2.4 million electricity customers in the U.S. bought green power from a CCA.</w:t>
      </w:r>
      <w:r w:rsidRPr="0023502A">
        <w:rPr>
          <w:rStyle w:val="FootnoteReference"/>
          <w:rFonts w:ascii="Helvetica" w:hAnsi="Helvetica" w:cs="Helvetica"/>
          <w:sz w:val="18"/>
          <w:szCs w:val="18"/>
        </w:rPr>
        <w:footnoteReference w:id="3"/>
      </w:r>
      <w:r w:rsidRPr="0023502A">
        <w:rPr>
          <w:rFonts w:ascii="Helvetica" w:hAnsi="Helvetica" w:cs="Helvetica"/>
          <w:sz w:val="18"/>
          <w:szCs w:val="18"/>
        </w:rPr>
        <w:t xml:space="preserve">   </w:t>
      </w:r>
      <w:r w:rsidRPr="0023502A">
        <w:rPr>
          <w:rFonts w:ascii="Helvetica" w:hAnsi="Helvetica"/>
          <w:sz w:val="18"/>
          <w:szCs w:val="18"/>
        </w:rPr>
        <w:t>Sustainable Westchester aims to adapt the best practices from the most successful programs in these states.</w:t>
      </w:r>
    </w:p>
    <w:p w14:paraId="7F3C2683" w14:textId="77777777" w:rsidR="004B62FA" w:rsidRPr="0023502A" w:rsidRDefault="004B62FA" w:rsidP="00996A24">
      <w:pPr>
        <w:ind w:left="-360"/>
        <w:rPr>
          <w:rFonts w:ascii="Helvetica" w:hAnsi="Helvetica" w:cs="Helvetica"/>
          <w:b/>
          <w:sz w:val="18"/>
          <w:szCs w:val="18"/>
        </w:rPr>
      </w:pPr>
    </w:p>
    <w:p w14:paraId="419E782F" w14:textId="77777777" w:rsidR="00996A24" w:rsidRDefault="00996A24" w:rsidP="00996A24">
      <w:pPr>
        <w:ind w:left="-360"/>
        <w:rPr>
          <w:rFonts w:ascii="Helvetica" w:hAnsi="Helvetica" w:cs="Helvetica"/>
          <w:sz w:val="18"/>
          <w:szCs w:val="18"/>
        </w:rPr>
      </w:pPr>
      <w:r w:rsidRPr="0023502A">
        <w:rPr>
          <w:rFonts w:ascii="Helvetica" w:hAnsi="Helvetica" w:cs="Helvetica"/>
          <w:b/>
          <w:sz w:val="18"/>
          <w:szCs w:val="18"/>
        </w:rPr>
        <w:t xml:space="preserve">Savings on electricity </w:t>
      </w:r>
      <w:r w:rsidR="004B62FA" w:rsidRPr="0023502A">
        <w:rPr>
          <w:rFonts w:ascii="Helvetica" w:hAnsi="Helvetica" w:cs="Helvetica"/>
          <w:b/>
          <w:sz w:val="18"/>
          <w:szCs w:val="18"/>
        </w:rPr>
        <w:t xml:space="preserve">supply </w:t>
      </w:r>
      <w:r w:rsidRPr="0023502A">
        <w:rPr>
          <w:rFonts w:ascii="Helvetica" w:hAnsi="Helvetica" w:cs="Helvetica"/>
          <w:b/>
          <w:sz w:val="18"/>
          <w:szCs w:val="18"/>
        </w:rPr>
        <w:t>average 5-10% in other states, including the programs offering renewable options.</w:t>
      </w:r>
      <w:r w:rsidRPr="0023502A">
        <w:rPr>
          <w:rStyle w:val="FootnoteReference"/>
          <w:rFonts w:ascii="Helvetica" w:hAnsi="Helvetica" w:cs="Helvetica"/>
          <w:b/>
          <w:sz w:val="18"/>
          <w:szCs w:val="18"/>
        </w:rPr>
        <w:footnoteReference w:id="4"/>
      </w:r>
      <w:r w:rsidRPr="0023502A">
        <w:rPr>
          <w:rFonts w:ascii="Helvetica" w:hAnsi="Helvetica" w:cs="Helvetica"/>
          <w:b/>
          <w:sz w:val="18"/>
          <w:szCs w:val="18"/>
        </w:rPr>
        <w:t xml:space="preserve">  The savings in New York figure to be even greater for natural gas</w:t>
      </w:r>
      <w:r w:rsidRPr="0023502A">
        <w:rPr>
          <w:rFonts w:ascii="Helvetica" w:hAnsi="Helvetica" w:cs="Helvetica"/>
          <w:sz w:val="18"/>
          <w:szCs w:val="18"/>
        </w:rPr>
        <w:t xml:space="preserve">.  With natural gas prices at a thirteen-year low, Sustainable Westchester has urged municipalities countywide to move as quickly as possible to maximize strategic advantage of locking in a price before the market corrects.  </w:t>
      </w:r>
    </w:p>
    <w:p w14:paraId="56FE3054" w14:textId="77777777" w:rsidR="00172536" w:rsidRDefault="00172536" w:rsidP="00996A24">
      <w:pPr>
        <w:ind w:left="-360"/>
        <w:rPr>
          <w:rFonts w:ascii="Helvetica" w:hAnsi="Helvetica" w:cs="Helvetica"/>
          <w:sz w:val="18"/>
          <w:szCs w:val="18"/>
        </w:rPr>
      </w:pPr>
    </w:p>
    <w:p w14:paraId="7090FC3A" w14:textId="5C813253" w:rsidR="00172536" w:rsidRPr="00172536" w:rsidRDefault="00172536" w:rsidP="00172536">
      <w:pPr>
        <w:widowControl w:val="0"/>
        <w:autoSpaceDE w:val="0"/>
        <w:autoSpaceDN w:val="0"/>
        <w:adjustRightInd w:val="0"/>
        <w:ind w:left="-360"/>
        <w:rPr>
          <w:rFonts w:ascii="Helvetica" w:hAnsi="Helvetica" w:cs="Calibri"/>
          <w:sz w:val="18"/>
          <w:szCs w:val="18"/>
        </w:rPr>
      </w:pPr>
      <w:r>
        <w:rPr>
          <w:rFonts w:ascii="Helvetica" w:hAnsi="Helvetica" w:cs="Calibri"/>
          <w:sz w:val="18"/>
          <w:szCs w:val="18"/>
        </w:rPr>
        <w:t xml:space="preserve">Leo </w:t>
      </w:r>
      <w:proofErr w:type="spellStart"/>
      <w:r>
        <w:rPr>
          <w:rFonts w:ascii="Helvetica" w:hAnsi="Helvetica" w:cs="Calibri"/>
          <w:sz w:val="18"/>
          <w:szCs w:val="18"/>
        </w:rPr>
        <w:t>Wiegman</w:t>
      </w:r>
      <w:proofErr w:type="spellEnd"/>
      <w:r>
        <w:rPr>
          <w:rFonts w:ascii="Helvetica" w:hAnsi="Helvetica" w:cs="Calibri"/>
          <w:sz w:val="18"/>
          <w:szCs w:val="18"/>
        </w:rPr>
        <w:t xml:space="preserve">, Mayor of Croton-on-Hudson, has encouraged all Westchester municipalities to follow Croton’s lead in passing a CCA resolution.  </w:t>
      </w:r>
      <w:r w:rsidRPr="00172536">
        <w:rPr>
          <w:rFonts w:ascii="Helvetica" w:hAnsi="Helvetica" w:cs="Calibri"/>
          <w:sz w:val="18"/>
          <w:szCs w:val="18"/>
        </w:rPr>
        <w:t>“Offering our residents and business owners the opportunity to save on their future electric bills is just one example of the benefits of collaboration among municipalities and aggregating our purchasing power. I have spoken with other municipalities that have successful CCA programs in other states. They are very willing to help us by sharing their processes and documentation to make our pilot program as successful as possible here in Westchester.”</w:t>
      </w:r>
      <w:r>
        <w:rPr>
          <w:rFonts w:ascii="Helvetica" w:hAnsi="Helvetica" w:cs="Calibri"/>
          <w:sz w:val="18"/>
          <w:szCs w:val="18"/>
        </w:rPr>
        <w:t xml:space="preserve">  </w:t>
      </w:r>
    </w:p>
    <w:p w14:paraId="77758201" w14:textId="77777777" w:rsidR="00DA1C70" w:rsidRPr="0023502A" w:rsidRDefault="00DA1C70" w:rsidP="00996A24">
      <w:pPr>
        <w:ind w:left="-360"/>
        <w:rPr>
          <w:rFonts w:ascii="Helvetica" w:hAnsi="Helvetica" w:cs="Helvetica"/>
          <w:sz w:val="18"/>
          <w:szCs w:val="18"/>
        </w:rPr>
      </w:pPr>
    </w:p>
    <w:p w14:paraId="720965E2" w14:textId="77777777" w:rsidR="00DA1C70" w:rsidRPr="0023502A" w:rsidRDefault="00DA1C70" w:rsidP="00DA1C70">
      <w:pPr>
        <w:ind w:left="-360"/>
        <w:rPr>
          <w:rFonts w:ascii="Helvetica" w:hAnsi="Helvetica"/>
          <w:sz w:val="18"/>
          <w:szCs w:val="18"/>
        </w:rPr>
      </w:pPr>
      <w:r w:rsidRPr="0023502A">
        <w:rPr>
          <w:rFonts w:ascii="Helvetica" w:hAnsi="Helvetica" w:cs="Helvetica"/>
          <w:sz w:val="18"/>
          <w:szCs w:val="18"/>
        </w:rPr>
        <w:t>New York residents have had the ability to choose their electricity and natural gas suppliers for over 15 years, and private energy suppliers (ESCOs) now compete alongside the utilities for residential and commercial accounts.  However, despite all the new choices available to residential consumers, roughly three-quarters have chosen to stay with the existing utility (</w:t>
      </w:r>
      <w:proofErr w:type="spellStart"/>
      <w:r w:rsidRPr="0023502A">
        <w:rPr>
          <w:rFonts w:ascii="Helvetica" w:hAnsi="Helvetica" w:cs="Helvetica"/>
          <w:sz w:val="18"/>
          <w:szCs w:val="18"/>
        </w:rPr>
        <w:t>ConEd</w:t>
      </w:r>
      <w:proofErr w:type="spellEnd"/>
      <w:r w:rsidRPr="0023502A">
        <w:rPr>
          <w:rFonts w:ascii="Helvetica" w:hAnsi="Helvetica" w:cs="Helvetica"/>
          <w:sz w:val="18"/>
          <w:szCs w:val="18"/>
        </w:rPr>
        <w:t>, NYSEG).  ESCOs are known for deceptive “teaser rates” and aggressive sales tactics, and residents are finding it difficult to save money by switching because individual small customers lack the necessary negotiating power to command sub-utility rates.</w:t>
      </w:r>
    </w:p>
    <w:p w14:paraId="6D968350" w14:textId="77777777" w:rsidR="00B26C31" w:rsidRPr="0023502A" w:rsidRDefault="00B26C31" w:rsidP="00635326">
      <w:pPr>
        <w:rPr>
          <w:rFonts w:ascii="Helvetica" w:hAnsi="Helvetica"/>
          <w:sz w:val="18"/>
          <w:szCs w:val="18"/>
        </w:rPr>
      </w:pPr>
    </w:p>
    <w:p w14:paraId="10653CA5" w14:textId="77777777" w:rsidR="00172536" w:rsidRDefault="00172536" w:rsidP="0023502A">
      <w:pPr>
        <w:ind w:left="-360"/>
        <w:rPr>
          <w:rFonts w:ascii="Helvetica" w:hAnsi="Helvetica" w:cs="Helvetica"/>
          <w:b/>
          <w:sz w:val="18"/>
          <w:szCs w:val="18"/>
        </w:rPr>
      </w:pPr>
    </w:p>
    <w:p w14:paraId="16D45033" w14:textId="77777777" w:rsidR="00172536" w:rsidRDefault="00172536" w:rsidP="0023502A">
      <w:pPr>
        <w:ind w:left="-360"/>
        <w:rPr>
          <w:rFonts w:ascii="Helvetica" w:hAnsi="Helvetica" w:cs="Helvetica"/>
          <w:b/>
          <w:sz w:val="18"/>
          <w:szCs w:val="18"/>
        </w:rPr>
      </w:pPr>
    </w:p>
    <w:p w14:paraId="3DF42171" w14:textId="3CE16713" w:rsidR="000D0E4E" w:rsidRPr="0023502A" w:rsidRDefault="00635326" w:rsidP="0023502A">
      <w:pPr>
        <w:ind w:left="-360"/>
        <w:rPr>
          <w:rFonts w:ascii="Helvetica" w:hAnsi="Helvetica" w:cs="Helvetica"/>
          <w:sz w:val="18"/>
          <w:szCs w:val="18"/>
        </w:rPr>
      </w:pPr>
      <w:r w:rsidRPr="0023502A">
        <w:rPr>
          <w:rFonts w:ascii="Helvetica" w:hAnsi="Helvetica" w:cs="Helvetica"/>
          <w:b/>
          <w:sz w:val="18"/>
          <w:szCs w:val="18"/>
        </w:rPr>
        <w:t>CCA presents residents with new options in how they buy their power and gas, but they are not compelled to take any action at all</w:t>
      </w:r>
      <w:r w:rsidRPr="0023502A">
        <w:rPr>
          <w:rFonts w:ascii="Helvetica" w:hAnsi="Helvetica" w:cs="Helvetica"/>
          <w:sz w:val="18"/>
          <w:szCs w:val="18"/>
        </w:rPr>
        <w:t xml:space="preserve">.  If they wish, they can do nothing and will be automatically switched to the default option </w:t>
      </w:r>
      <w:r w:rsidRPr="0023502A">
        <w:rPr>
          <w:rFonts w:ascii="Helvetica" w:hAnsi="Helvetica" w:cs="Helvetica"/>
          <w:sz w:val="18"/>
          <w:szCs w:val="18"/>
        </w:rPr>
        <w:lastRenderedPageBreak/>
        <w:t xml:space="preserve">negotiated by Sustainable Westchester (i.e. a low fixed rate).  </w:t>
      </w:r>
      <w:r w:rsidRPr="0023502A">
        <w:rPr>
          <w:rFonts w:ascii="Helvetica" w:hAnsi="Helvetica" w:cs="Helvetica"/>
          <w:b/>
          <w:sz w:val="18"/>
          <w:szCs w:val="18"/>
        </w:rPr>
        <w:t xml:space="preserve">Residents that wish to stay with </w:t>
      </w:r>
      <w:r w:rsidRPr="0023502A">
        <w:rPr>
          <w:rFonts w:ascii="Helvetica" w:hAnsi="Helvetica" w:cs="Helvetica"/>
          <w:b/>
          <w:color w:val="FF0000"/>
          <w:sz w:val="18"/>
          <w:szCs w:val="18"/>
        </w:rPr>
        <w:t>[utility]</w:t>
      </w:r>
      <w:r w:rsidRPr="0023502A">
        <w:rPr>
          <w:rFonts w:ascii="Helvetica" w:hAnsi="Helvetica" w:cs="Helvetica"/>
          <w:b/>
          <w:sz w:val="18"/>
          <w:szCs w:val="18"/>
        </w:rPr>
        <w:t xml:space="preserve"> may simply opt out of the program</w:t>
      </w:r>
      <w:r w:rsidRPr="0023502A">
        <w:rPr>
          <w:rFonts w:ascii="Helvetica" w:hAnsi="Helvetica" w:cs="Helvetica"/>
          <w:sz w:val="18"/>
          <w:szCs w:val="18"/>
        </w:rPr>
        <w:t xml:space="preserve"> by calling the utility or returning a pre-paid postcard.  Those</w:t>
      </w:r>
      <w:r w:rsidR="00A164B9" w:rsidRPr="0023502A">
        <w:rPr>
          <w:rFonts w:ascii="Helvetica" w:hAnsi="Helvetica" w:cs="Helvetica"/>
          <w:sz w:val="18"/>
          <w:szCs w:val="18"/>
        </w:rPr>
        <w:t xml:space="preserve"> already in contract </w:t>
      </w:r>
      <w:r w:rsidRPr="0023502A">
        <w:rPr>
          <w:rFonts w:ascii="Helvetica" w:hAnsi="Helvetica" w:cs="Helvetica"/>
          <w:sz w:val="18"/>
          <w:szCs w:val="18"/>
        </w:rPr>
        <w:t xml:space="preserve">with an ESCO may opt-in at any time but must honor the terms of their current contract, including paying any exit fees that may apply. </w:t>
      </w:r>
      <w:r w:rsidR="00A164B9" w:rsidRPr="0023502A">
        <w:rPr>
          <w:rFonts w:ascii="Helvetica" w:hAnsi="Helvetica" w:cs="Helvetica"/>
          <w:sz w:val="18"/>
          <w:szCs w:val="18"/>
        </w:rPr>
        <w:t xml:space="preserve"> Customers will continue to receive only one bill from </w:t>
      </w:r>
      <w:r w:rsidR="00A164B9" w:rsidRPr="0023502A">
        <w:rPr>
          <w:rFonts w:ascii="Helvetica" w:hAnsi="Helvetica" w:cs="Helvetica"/>
          <w:color w:val="FF0000"/>
          <w:sz w:val="18"/>
          <w:szCs w:val="18"/>
        </w:rPr>
        <w:t>[utility]</w:t>
      </w:r>
      <w:r w:rsidR="00A164B9" w:rsidRPr="0023502A">
        <w:rPr>
          <w:rFonts w:ascii="Helvetica" w:hAnsi="Helvetica" w:cs="Helvetica"/>
          <w:sz w:val="18"/>
          <w:szCs w:val="18"/>
        </w:rPr>
        <w:t xml:space="preserve"> and they will still be responsible for the transmission and delivery of your power and gas, including outage repairs</w:t>
      </w:r>
      <w:r w:rsidR="0023502A">
        <w:rPr>
          <w:rFonts w:ascii="Helvetica" w:hAnsi="Helvetica" w:cs="Helvetica"/>
          <w:sz w:val="18"/>
          <w:szCs w:val="18"/>
        </w:rPr>
        <w:t xml:space="preserve">.  </w:t>
      </w:r>
      <w:r w:rsidR="00996A24" w:rsidRPr="0023502A">
        <w:rPr>
          <w:rFonts w:ascii="Helvetica" w:hAnsi="Helvetica" w:cs="Helvetica"/>
          <w:sz w:val="18"/>
          <w:szCs w:val="18"/>
        </w:rPr>
        <w:t>In the coming months, residents will be receiving further detail</w:t>
      </w:r>
      <w:r w:rsidR="004B62FA" w:rsidRPr="0023502A">
        <w:rPr>
          <w:rFonts w:ascii="Helvetica" w:hAnsi="Helvetica" w:cs="Helvetica"/>
          <w:sz w:val="18"/>
          <w:szCs w:val="18"/>
        </w:rPr>
        <w:t>s in the mail about the program.</w:t>
      </w:r>
      <w:r w:rsidR="00996A24" w:rsidRPr="0023502A">
        <w:rPr>
          <w:rFonts w:ascii="Helvetica" w:hAnsi="Helvetica" w:cs="Helvetica"/>
          <w:sz w:val="18"/>
          <w:szCs w:val="18"/>
        </w:rPr>
        <w:t xml:space="preserve"> </w:t>
      </w:r>
      <w:r w:rsidR="004B62FA" w:rsidRPr="0023502A">
        <w:rPr>
          <w:rFonts w:ascii="Helvetica" w:hAnsi="Helvetica" w:cs="Helvetica"/>
          <w:sz w:val="18"/>
          <w:szCs w:val="18"/>
        </w:rPr>
        <w:t xml:space="preserve"> </w:t>
      </w:r>
      <w:r w:rsidR="000D0E4E" w:rsidRPr="0023502A">
        <w:rPr>
          <w:rFonts w:ascii="Helvetica" w:hAnsi="Helvetica" w:cs="Arial"/>
          <w:sz w:val="18"/>
          <w:szCs w:val="18"/>
        </w:rPr>
        <w:t xml:space="preserve">In the meantime, </w:t>
      </w:r>
      <w:r w:rsidR="004B62FA" w:rsidRPr="0023502A">
        <w:rPr>
          <w:rFonts w:ascii="Helvetica" w:hAnsi="Helvetica" w:cs="Arial"/>
          <w:sz w:val="18"/>
          <w:szCs w:val="18"/>
        </w:rPr>
        <w:t>please</w:t>
      </w:r>
      <w:r w:rsidR="000D0E4E" w:rsidRPr="0023502A">
        <w:rPr>
          <w:rFonts w:ascii="Helvetica" w:hAnsi="Helvetica" w:cs="Arial"/>
          <w:sz w:val="18"/>
          <w:szCs w:val="18"/>
        </w:rPr>
        <w:t xml:space="preserve"> contact </w:t>
      </w:r>
      <w:r w:rsidR="00A164B9" w:rsidRPr="0023502A">
        <w:rPr>
          <w:rFonts w:ascii="Helvetica" w:hAnsi="Helvetica" w:cs="Arial"/>
          <w:color w:val="FF0000"/>
          <w:sz w:val="18"/>
          <w:szCs w:val="18"/>
        </w:rPr>
        <w:t>[_________]</w:t>
      </w:r>
      <w:r w:rsidR="004B62FA" w:rsidRPr="0023502A">
        <w:rPr>
          <w:rFonts w:ascii="Helvetica" w:hAnsi="Helvetica" w:cs="Arial"/>
          <w:color w:val="FF0000"/>
          <w:sz w:val="18"/>
          <w:szCs w:val="18"/>
        </w:rPr>
        <w:t xml:space="preserve"> </w:t>
      </w:r>
      <w:r w:rsidR="004B62FA" w:rsidRPr="0023502A">
        <w:rPr>
          <w:rFonts w:ascii="Helvetica" w:hAnsi="Helvetica" w:cs="Arial"/>
          <w:sz w:val="18"/>
          <w:szCs w:val="18"/>
        </w:rPr>
        <w:t xml:space="preserve">with any questions. </w:t>
      </w:r>
    </w:p>
    <w:p w14:paraId="59B3CE6E" w14:textId="77777777" w:rsidR="000D0E4E" w:rsidRPr="0023502A" w:rsidRDefault="000D0E4E" w:rsidP="00BB38C9">
      <w:pPr>
        <w:ind w:left="-360"/>
        <w:rPr>
          <w:rFonts w:ascii="Helvetica" w:hAnsi="Helvetica" w:cs="Helvetica"/>
          <w:sz w:val="18"/>
          <w:szCs w:val="18"/>
        </w:rPr>
      </w:pPr>
    </w:p>
    <w:p w14:paraId="62033EC1" w14:textId="77777777" w:rsidR="000D0E4E" w:rsidRPr="0023502A" w:rsidRDefault="000D0E4E" w:rsidP="00BB38C9">
      <w:pPr>
        <w:ind w:left="-360"/>
        <w:rPr>
          <w:rFonts w:ascii="Helvetica" w:hAnsi="Helvetica" w:cs="Helvetica"/>
          <w:sz w:val="18"/>
          <w:szCs w:val="18"/>
        </w:rPr>
      </w:pPr>
    </w:p>
    <w:p w14:paraId="318B686D" w14:textId="77777777" w:rsidR="000D0E4E" w:rsidRPr="0023502A" w:rsidRDefault="000D0E4E" w:rsidP="00BB38C9">
      <w:pPr>
        <w:ind w:left="-360"/>
        <w:rPr>
          <w:rFonts w:ascii="Helvetica" w:hAnsi="Helvetica" w:cs="Helvetica"/>
          <w:sz w:val="18"/>
          <w:szCs w:val="18"/>
        </w:rPr>
      </w:pPr>
    </w:p>
    <w:p w14:paraId="4C31F02B" w14:textId="77777777" w:rsidR="000D0E4E" w:rsidRPr="0023502A" w:rsidRDefault="000D0E4E" w:rsidP="00BB38C9">
      <w:pPr>
        <w:ind w:left="-360"/>
        <w:rPr>
          <w:rFonts w:ascii="Helvetica" w:hAnsi="Helvetica"/>
          <w:sz w:val="18"/>
          <w:szCs w:val="18"/>
        </w:rPr>
      </w:pPr>
    </w:p>
    <w:sectPr w:rsidR="000D0E4E" w:rsidRPr="0023502A" w:rsidSect="0023502A">
      <w:headerReference w:type="default" r:id="rId8"/>
      <w:footerReference w:type="default" r:id="rId9"/>
      <w:pgSz w:w="12240" w:h="15840"/>
      <w:pgMar w:top="2070" w:right="108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00A15" w14:textId="77777777" w:rsidR="0099611D" w:rsidRDefault="0099611D" w:rsidP="000D0E4E">
      <w:r>
        <w:separator/>
      </w:r>
    </w:p>
  </w:endnote>
  <w:endnote w:type="continuationSeparator" w:id="0">
    <w:p w14:paraId="2FC3D435" w14:textId="77777777" w:rsidR="0099611D" w:rsidRDefault="0099611D" w:rsidP="000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5D6C4" w14:textId="77777777" w:rsidR="00513AC0" w:rsidRPr="00635326" w:rsidRDefault="00513AC0" w:rsidP="00635326">
    <w:pPr>
      <w:pStyle w:val="Footer"/>
      <w:jc w:val="center"/>
      <w:rPr>
        <w:rFonts w:ascii="Helvetica" w:hAnsi="Helvetica"/>
        <w:sz w:val="20"/>
        <w:szCs w:val="20"/>
      </w:rPr>
    </w:pPr>
    <w:r w:rsidRPr="00635326">
      <w:rPr>
        <w:rFonts w:ascii="Helvetica" w:hAnsi="Helvetica"/>
        <w:sz w:val="20"/>
        <w:szCs w:val="20"/>
      </w:rPr>
      <w:t>sustainablewestchester.org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FC638" w14:textId="77777777" w:rsidR="0099611D" w:rsidRDefault="0099611D" w:rsidP="000D0E4E">
      <w:r>
        <w:separator/>
      </w:r>
    </w:p>
  </w:footnote>
  <w:footnote w:type="continuationSeparator" w:id="0">
    <w:p w14:paraId="46AD1E3C" w14:textId="77777777" w:rsidR="0099611D" w:rsidRDefault="0099611D" w:rsidP="000D0E4E">
      <w:r>
        <w:continuationSeparator/>
      </w:r>
    </w:p>
  </w:footnote>
  <w:footnote w:id="1">
    <w:p w14:paraId="3AC46AA5" w14:textId="77777777" w:rsidR="00513AC0" w:rsidRPr="00635326" w:rsidRDefault="00513AC0" w:rsidP="00635326">
      <w:pPr>
        <w:pStyle w:val="FootnoteText"/>
        <w:ind w:left="-360"/>
        <w:rPr>
          <w:sz w:val="16"/>
          <w:szCs w:val="16"/>
        </w:rPr>
      </w:pPr>
      <w:r w:rsidRPr="00635326">
        <w:rPr>
          <w:rStyle w:val="FootnoteReference"/>
          <w:sz w:val="16"/>
          <w:szCs w:val="16"/>
        </w:rPr>
        <w:footnoteRef/>
      </w:r>
      <w:r w:rsidRPr="00635326">
        <w:rPr>
          <w:sz w:val="16"/>
          <w:szCs w:val="16"/>
        </w:rPr>
        <w:t xml:space="preserve"> For most recent data on electric rates, see U.S. Energy Information Administration (www.eia.gov/electricity)</w:t>
      </w:r>
    </w:p>
  </w:footnote>
  <w:footnote w:id="2">
    <w:p w14:paraId="1C3C1DCD" w14:textId="77777777" w:rsidR="00513AC0" w:rsidRPr="00635326" w:rsidRDefault="00513AC0" w:rsidP="00635326">
      <w:pPr>
        <w:pStyle w:val="FootnoteText"/>
        <w:ind w:left="-360"/>
        <w:rPr>
          <w:sz w:val="16"/>
          <w:szCs w:val="16"/>
        </w:rPr>
      </w:pPr>
      <w:r w:rsidRPr="00635326">
        <w:rPr>
          <w:rStyle w:val="FootnoteReference"/>
          <w:sz w:val="16"/>
          <w:szCs w:val="16"/>
        </w:rPr>
        <w:footnoteRef/>
      </w:r>
      <w:r w:rsidRPr="00635326">
        <w:rPr>
          <w:sz w:val="16"/>
          <w:szCs w:val="16"/>
        </w:rPr>
        <w:t xml:space="preserve"> See NYS DPS Press Release, “PSC OK’s State’s First Community Choice Aggregation Pilot Program: Energy Demonstration Project in Westchester County Designed to Help Customers Lower Energy Bills” (02/26/15) (http://www3.dps.ny.gov/pscweb/WebFileRoom.nsf/Web/C9DCDFF7232D6C4185257DF80063C456/$File/pr15020.pdf?OpenElement)</w:t>
      </w:r>
    </w:p>
  </w:footnote>
  <w:footnote w:id="3">
    <w:p w14:paraId="494FFD7D" w14:textId="77777777" w:rsidR="00513AC0" w:rsidRPr="00635326" w:rsidRDefault="00513AC0" w:rsidP="00635326">
      <w:pPr>
        <w:pStyle w:val="FootnoteText"/>
        <w:ind w:left="-360"/>
        <w:rPr>
          <w:sz w:val="16"/>
          <w:szCs w:val="16"/>
        </w:rPr>
      </w:pPr>
      <w:r w:rsidRPr="00635326">
        <w:rPr>
          <w:rStyle w:val="FootnoteReference"/>
          <w:sz w:val="16"/>
          <w:szCs w:val="16"/>
        </w:rPr>
        <w:footnoteRef/>
      </w:r>
      <w:r w:rsidRPr="00635326">
        <w:rPr>
          <w:sz w:val="16"/>
          <w:szCs w:val="16"/>
        </w:rPr>
        <w:t xml:space="preserve"> See National Renewable Energy Laboratory (NREL) Report, “Status and Trends in the U.S. Voluntary Green Power Market (2013 Data)” (November 2014) (http://www.nrel.gov/docs/fy15osti/63052.pdf)</w:t>
      </w:r>
    </w:p>
  </w:footnote>
  <w:footnote w:id="4">
    <w:p w14:paraId="1CBC9135" w14:textId="77777777" w:rsidR="00513AC0" w:rsidRDefault="00513AC0" w:rsidP="00635326">
      <w:pPr>
        <w:pStyle w:val="FootnoteText"/>
        <w:ind w:left="-360"/>
      </w:pPr>
      <w:r w:rsidRPr="00635326">
        <w:rPr>
          <w:rStyle w:val="FootnoteReference"/>
          <w:sz w:val="16"/>
          <w:szCs w:val="16"/>
        </w:rPr>
        <w:footnoteRef/>
      </w:r>
      <w:r w:rsidRPr="00635326">
        <w:rPr>
          <w:sz w:val="16"/>
          <w:szCs w:val="16"/>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2C40" w14:textId="77777777" w:rsidR="00513AC0" w:rsidRDefault="00513AC0">
    <w:pPr>
      <w:pStyle w:val="Header"/>
    </w:pPr>
    <w:r w:rsidRPr="008431A6">
      <w:rPr>
        <w:rFonts w:ascii="Helvetica" w:hAnsi="Helvetica"/>
        <w:noProof/>
        <w:sz w:val="20"/>
        <w:szCs w:val="20"/>
      </w:rPr>
      <w:drawing>
        <wp:anchor distT="0" distB="0" distL="114300" distR="114300" simplePos="0" relativeHeight="251659264" behindDoc="0" locked="0" layoutInCell="1" allowOverlap="1" wp14:anchorId="74B6351E" wp14:editId="0D20B4CA">
          <wp:simplePos x="0" y="0"/>
          <wp:positionH relativeFrom="margin">
            <wp:posOffset>914400</wp:posOffset>
          </wp:positionH>
          <wp:positionV relativeFrom="margin">
            <wp:posOffset>-1143000</wp:posOffset>
          </wp:positionV>
          <wp:extent cx="3771900" cy="1183640"/>
          <wp:effectExtent l="0" t="0" r="12700" b="10160"/>
          <wp:wrapSquare wrapText="bothSides"/>
          <wp:docPr id="3" name="Picture 3" descr="Macintosh HD:Users:millie:Desktop:10379754_1545621885658060_65390630830902005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llie:Desktop:10379754_1545621885658060_653906308309020056_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B388D"/>
    <w:multiLevelType w:val="hybridMultilevel"/>
    <w:tmpl w:val="61F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4E"/>
    <w:rsid w:val="0001064B"/>
    <w:rsid w:val="000C29FB"/>
    <w:rsid w:val="000D0E4E"/>
    <w:rsid w:val="00172536"/>
    <w:rsid w:val="0023502A"/>
    <w:rsid w:val="002B757A"/>
    <w:rsid w:val="00313280"/>
    <w:rsid w:val="003F6C48"/>
    <w:rsid w:val="00416E89"/>
    <w:rsid w:val="004B62FA"/>
    <w:rsid w:val="00513AC0"/>
    <w:rsid w:val="005C45A0"/>
    <w:rsid w:val="00635326"/>
    <w:rsid w:val="0069437C"/>
    <w:rsid w:val="007C7BBD"/>
    <w:rsid w:val="007F74F6"/>
    <w:rsid w:val="007F7598"/>
    <w:rsid w:val="00826183"/>
    <w:rsid w:val="008431A6"/>
    <w:rsid w:val="00960E8F"/>
    <w:rsid w:val="0099611D"/>
    <w:rsid w:val="00996A24"/>
    <w:rsid w:val="00A164B9"/>
    <w:rsid w:val="00A67CC7"/>
    <w:rsid w:val="00B26C31"/>
    <w:rsid w:val="00BB38C9"/>
    <w:rsid w:val="00BD087C"/>
    <w:rsid w:val="00CB7CA2"/>
    <w:rsid w:val="00D3155D"/>
    <w:rsid w:val="00DA1C70"/>
    <w:rsid w:val="00DE1601"/>
    <w:rsid w:val="00F7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8F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4E"/>
  </w:style>
  <w:style w:type="paragraph" w:styleId="Heading2">
    <w:name w:val="heading 2"/>
    <w:aliases w:val="Heading 2 booklet"/>
    <w:basedOn w:val="Normal"/>
    <w:next w:val="Normal"/>
    <w:link w:val="Heading2Char"/>
    <w:autoRedefine/>
    <w:uiPriority w:val="9"/>
    <w:unhideWhenUsed/>
    <w:qFormat/>
    <w:rsid w:val="000D0E4E"/>
    <w:pPr>
      <w:keepNext/>
      <w:keepLines/>
      <w:widowControl w:val="0"/>
      <w:kinsoku w:val="0"/>
      <w:spacing w:before="120"/>
      <w:outlineLvl w:val="1"/>
    </w:pPr>
    <w:rPr>
      <w:rFonts w:ascii="Times New Roman" w:eastAsiaTheme="majorEastAsia" w:hAnsi="Times New Roman" w:cstheme="majorBidi"/>
      <w:bC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booklet Char"/>
    <w:basedOn w:val="DefaultParagraphFont"/>
    <w:link w:val="Heading2"/>
    <w:uiPriority w:val="9"/>
    <w:rsid w:val="000D0E4E"/>
    <w:rPr>
      <w:rFonts w:ascii="Times New Roman" w:eastAsiaTheme="majorEastAsia" w:hAnsi="Times New Roman" w:cstheme="majorBidi"/>
      <w:bCs/>
      <w:color w:val="0070C0"/>
      <w:szCs w:val="26"/>
    </w:rPr>
  </w:style>
  <w:style w:type="paragraph" w:styleId="ListParagraph">
    <w:name w:val="List Paragraph"/>
    <w:basedOn w:val="Normal"/>
    <w:uiPriority w:val="34"/>
    <w:qFormat/>
    <w:rsid w:val="000D0E4E"/>
    <w:pPr>
      <w:widowControl w:val="0"/>
      <w:kinsoku w:val="0"/>
      <w:spacing w:after="120"/>
      <w:ind w:left="720"/>
    </w:pPr>
    <w:rPr>
      <w:rFonts w:ascii="Times New Roman" w:eastAsia="Times New Roman" w:hAnsi="Times New Roman" w:cs="Times New Roman"/>
    </w:rPr>
  </w:style>
  <w:style w:type="paragraph" w:styleId="FootnoteText">
    <w:name w:val="footnote text"/>
    <w:basedOn w:val="Normal"/>
    <w:link w:val="FootnoteTextChar"/>
    <w:autoRedefine/>
    <w:uiPriority w:val="99"/>
    <w:unhideWhenUsed/>
    <w:rsid w:val="00B26C31"/>
    <w:pPr>
      <w:widowControl w:val="0"/>
      <w:kinsoku w:val="0"/>
    </w:pPr>
    <w:rPr>
      <w:rFonts w:ascii="Helvetica" w:eastAsia="Times New Roman" w:hAnsi="Helvetica" w:cs="Times New Roman"/>
      <w:sz w:val="18"/>
    </w:rPr>
  </w:style>
  <w:style w:type="character" w:customStyle="1" w:styleId="FootnoteTextChar">
    <w:name w:val="Footnote Text Char"/>
    <w:basedOn w:val="DefaultParagraphFont"/>
    <w:link w:val="FootnoteText"/>
    <w:uiPriority w:val="99"/>
    <w:rsid w:val="00B26C31"/>
    <w:rPr>
      <w:rFonts w:ascii="Helvetica" w:eastAsia="Times New Roman" w:hAnsi="Helvetica" w:cs="Times New Roman"/>
      <w:sz w:val="18"/>
    </w:rPr>
  </w:style>
  <w:style w:type="character" w:styleId="FootnoteReference">
    <w:name w:val="footnote reference"/>
    <w:basedOn w:val="DefaultParagraphFont"/>
    <w:uiPriority w:val="99"/>
    <w:unhideWhenUsed/>
    <w:rsid w:val="000D0E4E"/>
    <w:rPr>
      <w:vertAlign w:val="superscript"/>
    </w:rPr>
  </w:style>
  <w:style w:type="character" w:styleId="Strong">
    <w:name w:val="Strong"/>
    <w:basedOn w:val="DefaultParagraphFont"/>
    <w:uiPriority w:val="22"/>
    <w:qFormat/>
    <w:rsid w:val="000D0E4E"/>
    <w:rPr>
      <w:b/>
      <w:bCs/>
    </w:rPr>
  </w:style>
  <w:style w:type="paragraph" w:styleId="Quote">
    <w:name w:val="Quote"/>
    <w:basedOn w:val="Normal"/>
    <w:next w:val="Normal"/>
    <w:link w:val="QuoteChar"/>
    <w:uiPriority w:val="29"/>
    <w:qFormat/>
    <w:rsid w:val="000D0E4E"/>
    <w:pPr>
      <w:widowControl w:val="0"/>
      <w:kinsoku w:val="0"/>
      <w:spacing w:after="120"/>
    </w:pPr>
    <w:rPr>
      <w:rFonts w:ascii="Times New Roman" w:eastAsia="Times New Roman" w:hAnsi="Times New Roman" w:cs="Times New Roman"/>
      <w:i/>
      <w:iCs/>
      <w:color w:val="000000" w:themeColor="text1"/>
    </w:rPr>
  </w:style>
  <w:style w:type="character" w:customStyle="1" w:styleId="QuoteChar">
    <w:name w:val="Quote Char"/>
    <w:basedOn w:val="DefaultParagraphFont"/>
    <w:link w:val="Quote"/>
    <w:uiPriority w:val="29"/>
    <w:rsid w:val="000D0E4E"/>
    <w:rPr>
      <w:rFonts w:ascii="Times New Roman" w:eastAsia="Times New Roman" w:hAnsi="Times New Roman" w:cs="Times New Roman"/>
      <w:i/>
      <w:iCs/>
      <w:color w:val="000000" w:themeColor="text1"/>
    </w:rPr>
  </w:style>
  <w:style w:type="paragraph" w:styleId="Header">
    <w:name w:val="header"/>
    <w:basedOn w:val="Normal"/>
    <w:link w:val="HeaderChar"/>
    <w:uiPriority w:val="99"/>
    <w:unhideWhenUsed/>
    <w:rsid w:val="00635326"/>
    <w:pPr>
      <w:tabs>
        <w:tab w:val="center" w:pos="4320"/>
        <w:tab w:val="right" w:pos="8640"/>
      </w:tabs>
    </w:pPr>
  </w:style>
  <w:style w:type="character" w:customStyle="1" w:styleId="HeaderChar">
    <w:name w:val="Header Char"/>
    <w:basedOn w:val="DefaultParagraphFont"/>
    <w:link w:val="Header"/>
    <w:uiPriority w:val="99"/>
    <w:rsid w:val="00635326"/>
  </w:style>
  <w:style w:type="paragraph" w:styleId="Footer">
    <w:name w:val="footer"/>
    <w:basedOn w:val="Normal"/>
    <w:link w:val="FooterChar"/>
    <w:uiPriority w:val="99"/>
    <w:unhideWhenUsed/>
    <w:rsid w:val="00635326"/>
    <w:pPr>
      <w:tabs>
        <w:tab w:val="center" w:pos="4320"/>
        <w:tab w:val="right" w:pos="8640"/>
      </w:tabs>
    </w:pPr>
  </w:style>
  <w:style w:type="character" w:customStyle="1" w:styleId="FooterChar">
    <w:name w:val="Footer Char"/>
    <w:basedOn w:val="DefaultParagraphFont"/>
    <w:link w:val="Footer"/>
    <w:uiPriority w:val="99"/>
    <w:rsid w:val="00635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4E"/>
  </w:style>
  <w:style w:type="paragraph" w:styleId="Heading2">
    <w:name w:val="heading 2"/>
    <w:aliases w:val="Heading 2 booklet"/>
    <w:basedOn w:val="Normal"/>
    <w:next w:val="Normal"/>
    <w:link w:val="Heading2Char"/>
    <w:autoRedefine/>
    <w:uiPriority w:val="9"/>
    <w:unhideWhenUsed/>
    <w:qFormat/>
    <w:rsid w:val="000D0E4E"/>
    <w:pPr>
      <w:keepNext/>
      <w:keepLines/>
      <w:widowControl w:val="0"/>
      <w:kinsoku w:val="0"/>
      <w:spacing w:before="120"/>
      <w:outlineLvl w:val="1"/>
    </w:pPr>
    <w:rPr>
      <w:rFonts w:ascii="Times New Roman" w:eastAsiaTheme="majorEastAsia" w:hAnsi="Times New Roman" w:cstheme="majorBidi"/>
      <w:bC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booklet Char"/>
    <w:basedOn w:val="DefaultParagraphFont"/>
    <w:link w:val="Heading2"/>
    <w:uiPriority w:val="9"/>
    <w:rsid w:val="000D0E4E"/>
    <w:rPr>
      <w:rFonts w:ascii="Times New Roman" w:eastAsiaTheme="majorEastAsia" w:hAnsi="Times New Roman" w:cstheme="majorBidi"/>
      <w:bCs/>
      <w:color w:val="0070C0"/>
      <w:szCs w:val="26"/>
    </w:rPr>
  </w:style>
  <w:style w:type="paragraph" w:styleId="ListParagraph">
    <w:name w:val="List Paragraph"/>
    <w:basedOn w:val="Normal"/>
    <w:uiPriority w:val="34"/>
    <w:qFormat/>
    <w:rsid w:val="000D0E4E"/>
    <w:pPr>
      <w:widowControl w:val="0"/>
      <w:kinsoku w:val="0"/>
      <w:spacing w:after="120"/>
      <w:ind w:left="720"/>
    </w:pPr>
    <w:rPr>
      <w:rFonts w:ascii="Times New Roman" w:eastAsia="Times New Roman" w:hAnsi="Times New Roman" w:cs="Times New Roman"/>
    </w:rPr>
  </w:style>
  <w:style w:type="paragraph" w:styleId="FootnoteText">
    <w:name w:val="footnote text"/>
    <w:basedOn w:val="Normal"/>
    <w:link w:val="FootnoteTextChar"/>
    <w:autoRedefine/>
    <w:uiPriority w:val="99"/>
    <w:unhideWhenUsed/>
    <w:rsid w:val="00B26C31"/>
    <w:pPr>
      <w:widowControl w:val="0"/>
      <w:kinsoku w:val="0"/>
    </w:pPr>
    <w:rPr>
      <w:rFonts w:ascii="Helvetica" w:eastAsia="Times New Roman" w:hAnsi="Helvetica" w:cs="Times New Roman"/>
      <w:sz w:val="18"/>
    </w:rPr>
  </w:style>
  <w:style w:type="character" w:customStyle="1" w:styleId="FootnoteTextChar">
    <w:name w:val="Footnote Text Char"/>
    <w:basedOn w:val="DefaultParagraphFont"/>
    <w:link w:val="FootnoteText"/>
    <w:uiPriority w:val="99"/>
    <w:rsid w:val="00B26C31"/>
    <w:rPr>
      <w:rFonts w:ascii="Helvetica" w:eastAsia="Times New Roman" w:hAnsi="Helvetica" w:cs="Times New Roman"/>
      <w:sz w:val="18"/>
    </w:rPr>
  </w:style>
  <w:style w:type="character" w:styleId="FootnoteReference">
    <w:name w:val="footnote reference"/>
    <w:basedOn w:val="DefaultParagraphFont"/>
    <w:uiPriority w:val="99"/>
    <w:unhideWhenUsed/>
    <w:rsid w:val="000D0E4E"/>
    <w:rPr>
      <w:vertAlign w:val="superscript"/>
    </w:rPr>
  </w:style>
  <w:style w:type="character" w:styleId="Strong">
    <w:name w:val="Strong"/>
    <w:basedOn w:val="DefaultParagraphFont"/>
    <w:uiPriority w:val="22"/>
    <w:qFormat/>
    <w:rsid w:val="000D0E4E"/>
    <w:rPr>
      <w:b/>
      <w:bCs/>
    </w:rPr>
  </w:style>
  <w:style w:type="paragraph" w:styleId="Quote">
    <w:name w:val="Quote"/>
    <w:basedOn w:val="Normal"/>
    <w:next w:val="Normal"/>
    <w:link w:val="QuoteChar"/>
    <w:uiPriority w:val="29"/>
    <w:qFormat/>
    <w:rsid w:val="000D0E4E"/>
    <w:pPr>
      <w:widowControl w:val="0"/>
      <w:kinsoku w:val="0"/>
      <w:spacing w:after="120"/>
    </w:pPr>
    <w:rPr>
      <w:rFonts w:ascii="Times New Roman" w:eastAsia="Times New Roman" w:hAnsi="Times New Roman" w:cs="Times New Roman"/>
      <w:i/>
      <w:iCs/>
      <w:color w:val="000000" w:themeColor="text1"/>
    </w:rPr>
  </w:style>
  <w:style w:type="character" w:customStyle="1" w:styleId="QuoteChar">
    <w:name w:val="Quote Char"/>
    <w:basedOn w:val="DefaultParagraphFont"/>
    <w:link w:val="Quote"/>
    <w:uiPriority w:val="29"/>
    <w:rsid w:val="000D0E4E"/>
    <w:rPr>
      <w:rFonts w:ascii="Times New Roman" w:eastAsia="Times New Roman" w:hAnsi="Times New Roman" w:cs="Times New Roman"/>
      <w:i/>
      <w:iCs/>
      <w:color w:val="000000" w:themeColor="text1"/>
    </w:rPr>
  </w:style>
  <w:style w:type="paragraph" w:styleId="Header">
    <w:name w:val="header"/>
    <w:basedOn w:val="Normal"/>
    <w:link w:val="HeaderChar"/>
    <w:uiPriority w:val="99"/>
    <w:unhideWhenUsed/>
    <w:rsid w:val="00635326"/>
    <w:pPr>
      <w:tabs>
        <w:tab w:val="center" w:pos="4320"/>
        <w:tab w:val="right" w:pos="8640"/>
      </w:tabs>
    </w:pPr>
  </w:style>
  <w:style w:type="character" w:customStyle="1" w:styleId="HeaderChar">
    <w:name w:val="Header Char"/>
    <w:basedOn w:val="DefaultParagraphFont"/>
    <w:link w:val="Header"/>
    <w:uiPriority w:val="99"/>
    <w:rsid w:val="00635326"/>
  </w:style>
  <w:style w:type="paragraph" w:styleId="Footer">
    <w:name w:val="footer"/>
    <w:basedOn w:val="Normal"/>
    <w:link w:val="FooterChar"/>
    <w:uiPriority w:val="99"/>
    <w:unhideWhenUsed/>
    <w:rsid w:val="00635326"/>
    <w:pPr>
      <w:tabs>
        <w:tab w:val="center" w:pos="4320"/>
        <w:tab w:val="right" w:pos="8640"/>
      </w:tabs>
    </w:pPr>
  </w:style>
  <w:style w:type="character" w:customStyle="1" w:styleId="FooterChar">
    <w:name w:val="Footer Char"/>
    <w:basedOn w:val="DefaultParagraphFont"/>
    <w:link w:val="Footer"/>
    <w:uiPriority w:val="99"/>
    <w:rsid w:val="0063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Weinberg</dc:creator>
  <cp:lastModifiedBy>Steve Conti</cp:lastModifiedBy>
  <cp:revision>2</cp:revision>
  <dcterms:created xsi:type="dcterms:W3CDTF">2015-05-21T20:12:00Z</dcterms:created>
  <dcterms:modified xsi:type="dcterms:W3CDTF">2015-05-21T20:12:00Z</dcterms:modified>
</cp:coreProperties>
</file>